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5E6446" w:rsidRDefault="00CE795C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>Brimfield Board of Health</w:t>
      </w:r>
    </w:p>
    <w:p w:rsidR="00CE795C" w:rsidRPr="005E6446" w:rsidRDefault="00A958E6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 xml:space="preserve">Meeting of </w:t>
      </w:r>
      <w:r w:rsidR="001925E5">
        <w:rPr>
          <w:rFonts w:cs="Arial"/>
          <w:b/>
          <w:sz w:val="22"/>
          <w:szCs w:val="22"/>
        </w:rPr>
        <w:t>December 22nd</w:t>
      </w:r>
      <w:r w:rsidR="00364F40" w:rsidRPr="005E6446">
        <w:rPr>
          <w:rFonts w:cs="Arial"/>
          <w:b/>
          <w:sz w:val="22"/>
          <w:szCs w:val="22"/>
        </w:rPr>
        <w:t>,</w:t>
      </w:r>
      <w:r w:rsidR="00FA13F8" w:rsidRPr="005E6446">
        <w:rPr>
          <w:rFonts w:cs="Arial"/>
          <w:b/>
          <w:sz w:val="22"/>
          <w:szCs w:val="22"/>
        </w:rPr>
        <w:t xml:space="preserve"> 2020</w:t>
      </w:r>
    </w:p>
    <w:p w:rsidR="00CE795C" w:rsidRPr="005E6446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5E6446" w:rsidRDefault="00262E16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Board Membe</w:t>
      </w:r>
      <w:r w:rsidR="000D7540" w:rsidRPr="005E6446">
        <w:rPr>
          <w:rFonts w:cs="Arial"/>
          <w:sz w:val="22"/>
          <w:szCs w:val="22"/>
        </w:rPr>
        <w:t>rs Present:</w:t>
      </w:r>
      <w:r w:rsidR="00E8446A" w:rsidRPr="005E6446">
        <w:rPr>
          <w:rFonts w:cs="Arial"/>
          <w:sz w:val="22"/>
          <w:szCs w:val="22"/>
        </w:rPr>
        <w:t xml:space="preserve"> </w:t>
      </w:r>
      <w:r w:rsidR="00A918AC">
        <w:rPr>
          <w:rFonts w:cs="Arial"/>
          <w:sz w:val="22"/>
          <w:szCs w:val="22"/>
        </w:rPr>
        <w:t>Chair Richard Costa,</w:t>
      </w:r>
      <w:r w:rsidR="00A918AC" w:rsidRPr="005E6446">
        <w:rPr>
          <w:rFonts w:cs="Arial"/>
          <w:sz w:val="22"/>
          <w:szCs w:val="22"/>
        </w:rPr>
        <w:t xml:space="preserve"> Co</w:t>
      </w:r>
      <w:r w:rsidR="000D7540" w:rsidRPr="005E6446">
        <w:rPr>
          <w:rFonts w:cs="Arial"/>
          <w:sz w:val="22"/>
          <w:szCs w:val="22"/>
        </w:rPr>
        <w:t xml:space="preserve"> Chair</w:t>
      </w:r>
      <w:r w:rsidR="00B8010C" w:rsidRPr="005E6446">
        <w:rPr>
          <w:rFonts w:cs="Arial"/>
          <w:sz w:val="22"/>
          <w:szCs w:val="22"/>
        </w:rPr>
        <w:t xml:space="preserve"> K. Marino</w:t>
      </w:r>
      <w:r w:rsidR="00FB5EB8" w:rsidRPr="005E6446">
        <w:rPr>
          <w:rFonts w:cs="Arial"/>
          <w:sz w:val="22"/>
          <w:szCs w:val="22"/>
        </w:rPr>
        <w:t>, M. Polack</w:t>
      </w:r>
      <w:r w:rsidR="00BC27FA" w:rsidRPr="005E6446">
        <w:rPr>
          <w:rFonts w:cs="Arial"/>
          <w:sz w:val="22"/>
          <w:szCs w:val="22"/>
        </w:rPr>
        <w:t>, M. Kopro</w:t>
      </w:r>
      <w:r w:rsidR="00364F40" w:rsidRPr="005E6446">
        <w:rPr>
          <w:rFonts w:cs="Arial"/>
          <w:sz w:val="22"/>
          <w:szCs w:val="22"/>
        </w:rPr>
        <w:t>wski</w:t>
      </w:r>
      <w:r w:rsidR="00E8446A" w:rsidRPr="005E6446">
        <w:rPr>
          <w:rFonts w:cs="Arial"/>
          <w:sz w:val="22"/>
          <w:szCs w:val="22"/>
        </w:rPr>
        <w:t xml:space="preserve"> and </w:t>
      </w:r>
      <w:r w:rsidR="008B1C97" w:rsidRPr="005E6446">
        <w:rPr>
          <w:rFonts w:cs="Arial"/>
          <w:sz w:val="22"/>
          <w:szCs w:val="22"/>
        </w:rPr>
        <w:t>T.</w:t>
      </w:r>
      <w:r w:rsidR="00122E47" w:rsidRPr="005E6446">
        <w:rPr>
          <w:rFonts w:cs="Arial"/>
          <w:sz w:val="22"/>
          <w:szCs w:val="22"/>
        </w:rPr>
        <w:t xml:space="preserve"> </w:t>
      </w:r>
      <w:r w:rsidR="008B1C97" w:rsidRPr="005E6446">
        <w:rPr>
          <w:rFonts w:cs="Arial"/>
          <w:sz w:val="22"/>
          <w:szCs w:val="22"/>
        </w:rPr>
        <w:t>Wood</w:t>
      </w:r>
      <w:r w:rsidR="00E8446A" w:rsidRPr="005E6446">
        <w:rPr>
          <w:rFonts w:cs="Arial"/>
          <w:sz w:val="22"/>
          <w:szCs w:val="22"/>
        </w:rPr>
        <w:t xml:space="preserve"> 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Present: Administrative </w:t>
      </w:r>
      <w:r w:rsidR="008C7514" w:rsidRPr="005E6446">
        <w:rPr>
          <w:rFonts w:cs="Arial"/>
          <w:sz w:val="22"/>
          <w:szCs w:val="22"/>
        </w:rPr>
        <w:t xml:space="preserve">Assistant Michelle </w:t>
      </w:r>
      <w:r w:rsidR="00974DA9" w:rsidRPr="005E6446">
        <w:rPr>
          <w:rFonts w:cs="Arial"/>
          <w:sz w:val="22"/>
          <w:szCs w:val="22"/>
        </w:rPr>
        <w:t>Metcalf,</w:t>
      </w:r>
      <w:r w:rsidR="00FA13F8" w:rsidRPr="005E6446">
        <w:rPr>
          <w:rFonts w:cs="Arial"/>
          <w:sz w:val="22"/>
          <w:szCs w:val="22"/>
        </w:rPr>
        <w:t xml:space="preserve"> </w:t>
      </w:r>
      <w:r w:rsidR="00AB4A7F" w:rsidRPr="005E6446">
        <w:rPr>
          <w:rFonts w:cs="Arial"/>
          <w:sz w:val="22"/>
          <w:szCs w:val="22"/>
        </w:rPr>
        <w:t>Health Agent</w:t>
      </w:r>
      <w:r w:rsidR="00AC4CF6" w:rsidRPr="005E6446">
        <w:rPr>
          <w:rFonts w:cs="Arial"/>
          <w:sz w:val="22"/>
          <w:szCs w:val="22"/>
        </w:rPr>
        <w:t xml:space="preserve"> </w:t>
      </w:r>
      <w:r w:rsidR="00600C2A" w:rsidRPr="005E6446">
        <w:rPr>
          <w:rFonts w:cs="Arial"/>
          <w:sz w:val="22"/>
          <w:szCs w:val="22"/>
        </w:rPr>
        <w:t>Jamie</w:t>
      </w:r>
      <w:r w:rsidR="00825B3C" w:rsidRPr="005E6446">
        <w:rPr>
          <w:rFonts w:cs="Arial"/>
          <w:sz w:val="22"/>
          <w:szCs w:val="22"/>
        </w:rPr>
        <w:t xml:space="preserve"> Terry</w:t>
      </w:r>
    </w:p>
    <w:p w:rsidR="00974DA9" w:rsidRPr="005E6446" w:rsidRDefault="00974DA9" w:rsidP="00704886">
      <w:pPr>
        <w:rPr>
          <w:rFonts w:cs="Arial"/>
          <w:sz w:val="22"/>
          <w:szCs w:val="22"/>
        </w:rPr>
      </w:pPr>
    </w:p>
    <w:p w:rsidR="00954873" w:rsidRPr="005E6446" w:rsidRDefault="00CE795C" w:rsidP="0068557F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The mee</w:t>
      </w:r>
      <w:r w:rsidR="008C7514" w:rsidRPr="005E6446">
        <w:rPr>
          <w:rFonts w:cs="Arial"/>
          <w:sz w:val="22"/>
          <w:szCs w:val="22"/>
        </w:rPr>
        <w:t xml:space="preserve">ting was called to </w:t>
      </w:r>
      <w:r w:rsidR="00B752BC" w:rsidRPr="005E6446">
        <w:rPr>
          <w:rFonts w:cs="Arial"/>
          <w:sz w:val="22"/>
          <w:szCs w:val="22"/>
        </w:rPr>
        <w:t xml:space="preserve">order at </w:t>
      </w:r>
      <w:r w:rsidR="008E017F" w:rsidRPr="005E6446">
        <w:rPr>
          <w:rFonts w:cs="Arial"/>
          <w:sz w:val="22"/>
          <w:szCs w:val="22"/>
        </w:rPr>
        <w:t>6:</w:t>
      </w:r>
      <w:r w:rsidR="00A918AC">
        <w:rPr>
          <w:rFonts w:cs="Arial"/>
          <w:sz w:val="22"/>
          <w:szCs w:val="22"/>
        </w:rPr>
        <w:t>3</w:t>
      </w:r>
      <w:r w:rsidR="00D914B7">
        <w:rPr>
          <w:rFonts w:cs="Arial"/>
          <w:sz w:val="22"/>
          <w:szCs w:val="22"/>
        </w:rPr>
        <w:t>2</w:t>
      </w:r>
      <w:r w:rsidR="0003647F" w:rsidRPr="005E6446">
        <w:rPr>
          <w:rFonts w:cs="Arial"/>
          <w:sz w:val="22"/>
          <w:szCs w:val="22"/>
        </w:rPr>
        <w:t xml:space="preserve"> </w:t>
      </w:r>
      <w:r w:rsidR="00974DA9" w:rsidRPr="005E6446">
        <w:rPr>
          <w:rFonts w:cs="Arial"/>
          <w:sz w:val="22"/>
          <w:szCs w:val="22"/>
        </w:rPr>
        <w:t>P</w:t>
      </w:r>
      <w:r w:rsidR="00AB4A7F" w:rsidRPr="005E6446">
        <w:rPr>
          <w:rFonts w:cs="Arial"/>
          <w:sz w:val="22"/>
          <w:szCs w:val="22"/>
        </w:rPr>
        <w:t>M</w:t>
      </w:r>
    </w:p>
    <w:p w:rsidR="00DA2C49" w:rsidRPr="005E6446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A2C49" w:rsidRPr="005E6446" w:rsidRDefault="00D33E62" w:rsidP="0070488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5E6446">
        <w:rPr>
          <w:rFonts w:ascii="Arial" w:hAnsi="Arial" w:cs="Arial"/>
          <w:b/>
          <w:iCs/>
          <w:sz w:val="22"/>
          <w:szCs w:val="22"/>
        </w:rPr>
        <w:t>COVID 19 -Update</w:t>
      </w:r>
    </w:p>
    <w:p w:rsidR="006C1D34" w:rsidRPr="006C1D34" w:rsidRDefault="006C1D34" w:rsidP="006C1D34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town currently has 8 active cases. </w:t>
      </w:r>
      <w:r w:rsidRPr="006C1D34">
        <w:rPr>
          <w:rFonts w:cs="Arial"/>
          <w:sz w:val="22"/>
          <w:szCs w:val="22"/>
        </w:rPr>
        <w:t xml:space="preserve">The </w:t>
      </w:r>
      <w:proofErr w:type="gramStart"/>
      <w:r w:rsidRPr="006C1D34">
        <w:rPr>
          <w:rFonts w:cs="Arial"/>
          <w:sz w:val="22"/>
          <w:szCs w:val="22"/>
        </w:rPr>
        <w:t xml:space="preserve">Governor </w:t>
      </w:r>
      <w:r w:rsidRPr="006C1D34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 temporary</w:t>
      </w:r>
      <w:proofErr w:type="gramEnd"/>
      <w:r w:rsidRPr="006C1D34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 Executive Order will outline the following measures that will take effect at 12:01 a.m. on Saturday, December 26</w:t>
      </w:r>
      <w:r w:rsidRPr="006C1D34">
        <w:rPr>
          <w:rFonts w:cs="Arial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6C1D34">
        <w:rPr>
          <w:rFonts w:cs="Arial"/>
          <w:color w:val="000000"/>
          <w:sz w:val="22"/>
          <w:szCs w:val="22"/>
          <w:bdr w:val="none" w:sz="0" w:space="0" w:color="auto" w:frame="1"/>
        </w:rPr>
        <w:t> and will continue until Sunday, January 10</w:t>
      </w:r>
      <w:r w:rsidRPr="006C1D34">
        <w:rPr>
          <w:rFonts w:cs="Arial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6C1D34">
        <w:rPr>
          <w:rFonts w:cs="Arial"/>
          <w:color w:val="000000"/>
          <w:sz w:val="22"/>
          <w:szCs w:val="22"/>
          <w:bdr w:val="none" w:sz="0" w:space="0" w:color="auto" w:frame="1"/>
        </w:rPr>
        <w:t>, with a possibility of an extension of another week based upon available data.</w:t>
      </w:r>
    </w:p>
    <w:p w:rsidR="006C1D34" w:rsidRPr="006C1D34" w:rsidRDefault="006C1D34" w:rsidP="006C1D34">
      <w:pPr>
        <w:shd w:val="clear" w:color="auto" w:fill="FFFFFF"/>
        <w:rPr>
          <w:rFonts w:cs="Arial"/>
          <w:color w:val="201F1E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  <w:bdr w:val="none" w:sz="0" w:space="0" w:color="auto" w:frame="1"/>
        </w:rPr>
        <w:t> </w:t>
      </w:r>
    </w:p>
    <w:p w:rsidR="006C1D34" w:rsidRPr="006C1D34" w:rsidRDefault="006C1D34" w:rsidP="006C1D34">
      <w:pPr>
        <w:shd w:val="clear" w:color="auto" w:fill="FFFFFF"/>
        <w:rPr>
          <w:rFonts w:cs="Arial"/>
          <w:color w:val="201F1E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  <w:bdr w:val="none" w:sz="0" w:space="0" w:color="auto" w:frame="1"/>
        </w:rPr>
        <w:t>This pause will reduce allowable occupancy from current capacity levels of 40% to 25% in multiple sectors.</w:t>
      </w:r>
    </w:p>
    <w:p w:rsidR="006C1D34" w:rsidRPr="006C1D34" w:rsidRDefault="006C1D34" w:rsidP="006C1D34">
      <w:pPr>
        <w:shd w:val="clear" w:color="auto" w:fill="FFFFFF"/>
        <w:rPr>
          <w:rFonts w:cs="Arial"/>
          <w:color w:val="201F1E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  <w:bdr w:val="none" w:sz="0" w:space="0" w:color="auto" w:frame="1"/>
        </w:rPr>
        <w:t> </w:t>
      </w:r>
    </w:p>
    <w:p w:rsidR="006C1D34" w:rsidRPr="006C1D34" w:rsidRDefault="006C1D34" w:rsidP="006C1D34">
      <w:pPr>
        <w:numPr>
          <w:ilvl w:val="0"/>
          <w:numId w:val="12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Notably, this capacity limit will now apply to restaurants. Capacity will be set at 25% of pre-COVID seating capacity and distancing between tables and other requirements will remain in place. Indoor and Outdoor seating capacity must be calculated separately (rather than combining them).</w:t>
      </w:r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 xml:space="preserve">Small spaces (such as personal services) and other spaces without clear occupancy standards may use 5 people / 1000 square feet as an alternative to the 25% </w:t>
      </w:r>
      <w:proofErr w:type="gramStart"/>
      <w:r w:rsidRPr="006C1D34">
        <w:rPr>
          <w:rFonts w:cs="Arial"/>
          <w:color w:val="000000"/>
          <w:sz w:val="22"/>
          <w:szCs w:val="22"/>
        </w:rPr>
        <w:t>occupancy .</w:t>
      </w:r>
      <w:proofErr w:type="gramEnd"/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The 25% limit will not apply to manufacturing, laboratories, drive in movie theaters, or construction</w:t>
      </w:r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Employees/staff are exempted from the capacity count</w:t>
      </w:r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Limits at indoor event venues are being reduced to 10 people.</w:t>
      </w:r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Limits at outdoor event venues are being reduced to 25 people.</w:t>
      </w:r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Current limits at private residences remain the same (10 indoors and 25 outdoors)</w:t>
      </w:r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Limits at movie theaters will be reduced to 25% (no more than 50 people per theater)</w:t>
      </w:r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Limits outdoor performance venues will remain 25% (with the max number reduced to 25 from 50).</w:t>
      </w:r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Office spaces will be required to reduce capacity to 25%, but there will continue to be allowances for offices with “critical services”, such as public safety, public health, and other critical services. There is no approval required for these exemptions.</w:t>
      </w:r>
    </w:p>
    <w:p w:rsidR="006C1D34" w:rsidRPr="006C1D34" w:rsidRDefault="006C1D34" w:rsidP="006C1D34">
      <w:pPr>
        <w:numPr>
          <w:ilvl w:val="0"/>
          <w:numId w:val="13"/>
        </w:numPr>
        <w:shd w:val="clear" w:color="auto" w:fill="FFFFFF"/>
        <w:spacing w:after="160" w:line="231" w:lineRule="atLeast"/>
        <w:rPr>
          <w:rFonts w:cs="Arial"/>
          <w:color w:val="000000"/>
          <w:sz w:val="22"/>
          <w:szCs w:val="22"/>
        </w:rPr>
      </w:pPr>
      <w:r w:rsidRPr="006C1D34">
        <w:rPr>
          <w:rFonts w:cs="Arial"/>
          <w:color w:val="000000"/>
          <w:sz w:val="22"/>
          <w:szCs w:val="22"/>
        </w:rPr>
        <w:t>K-12 schools continue to be exempted from these capacity limits and will need to follow DESE standards and guidelines.</w:t>
      </w:r>
    </w:p>
    <w:p w:rsidR="006C1D34" w:rsidRPr="005E6446" w:rsidRDefault="006C1D34" w:rsidP="001925E5">
      <w:pPr>
        <w:ind w:left="1080"/>
        <w:rPr>
          <w:rFonts w:cs="Arial"/>
          <w:sz w:val="22"/>
          <w:szCs w:val="22"/>
        </w:rPr>
      </w:pPr>
    </w:p>
    <w:p w:rsidR="005E6446" w:rsidRPr="005E6446" w:rsidRDefault="005E6446" w:rsidP="001A46E6">
      <w:pPr>
        <w:ind w:left="1080"/>
        <w:rPr>
          <w:rFonts w:cs="Arial"/>
          <w:iCs/>
          <w:sz w:val="22"/>
          <w:szCs w:val="22"/>
        </w:rPr>
      </w:pPr>
    </w:p>
    <w:p w:rsidR="000971C3" w:rsidRDefault="001925E5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Review Town Report</w:t>
      </w:r>
    </w:p>
    <w:p w:rsidR="001925E5" w:rsidRDefault="006F1B5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Board review Town report and will send edits to administrator and review the final draft at the next meeting.</w:t>
      </w:r>
    </w:p>
    <w:p w:rsidR="006F1B53" w:rsidRDefault="006F1B5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6F1B53" w:rsidRPr="006F1B53" w:rsidRDefault="006F1B5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925E5" w:rsidRDefault="001925E5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THS Flu Clinic </w:t>
      </w:r>
    </w:p>
    <w:p w:rsidR="00D914B7" w:rsidRPr="00D914B7" w:rsidRDefault="006F1B53" w:rsidP="00D914B7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board participated in a Flu </w:t>
      </w:r>
      <w:r w:rsidR="00996991">
        <w:rPr>
          <w:rFonts w:ascii="Arial" w:hAnsi="Arial" w:cs="Arial"/>
          <w:iCs/>
          <w:sz w:val="22"/>
          <w:szCs w:val="22"/>
        </w:rPr>
        <w:t>clinic</w:t>
      </w:r>
      <w:r>
        <w:rPr>
          <w:rFonts w:ascii="Arial" w:hAnsi="Arial" w:cs="Arial"/>
          <w:iCs/>
          <w:sz w:val="22"/>
          <w:szCs w:val="22"/>
        </w:rPr>
        <w:t xml:space="preserve"> at THS 200 people signed up for the clinic. It </w:t>
      </w:r>
      <w:proofErr w:type="gramStart"/>
      <w:r>
        <w:rPr>
          <w:rFonts w:ascii="Arial" w:hAnsi="Arial" w:cs="Arial"/>
          <w:iCs/>
          <w:sz w:val="22"/>
          <w:szCs w:val="22"/>
        </w:rPr>
        <w:t>was  a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drive up clinic with two lanes and also a table was setup to revive vaccination.</w:t>
      </w:r>
      <w:r w:rsidR="00996991">
        <w:rPr>
          <w:rFonts w:ascii="Arial" w:hAnsi="Arial" w:cs="Arial"/>
          <w:iCs/>
          <w:sz w:val="22"/>
          <w:szCs w:val="22"/>
        </w:rPr>
        <w:t xml:space="preserve"> The town health nurse and board member K. Marion RN help with administrating the vaccinations. The clinic was a great success and the board felt it was great practice if we need to run a clinic for the COVID vaccine.</w:t>
      </w:r>
      <w:r w:rsidR="00D914B7" w:rsidRPr="00D914B7">
        <w:rPr>
          <w:rFonts w:ascii="Arial" w:hAnsi="Arial" w:cs="Arial"/>
          <w:iCs/>
          <w:sz w:val="22"/>
          <w:szCs w:val="22"/>
        </w:rPr>
        <w:t xml:space="preserve"> </w:t>
      </w:r>
    </w:p>
    <w:p w:rsidR="00996991" w:rsidRDefault="00996991" w:rsidP="006F1B53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925E5" w:rsidRPr="00996991" w:rsidRDefault="001925E5" w:rsidP="00996991">
      <w:pPr>
        <w:rPr>
          <w:rFonts w:cs="Arial"/>
          <w:b/>
          <w:iCs/>
          <w:sz w:val="22"/>
          <w:szCs w:val="22"/>
        </w:rPr>
      </w:pPr>
    </w:p>
    <w:p w:rsidR="001925E5" w:rsidRDefault="001925E5" w:rsidP="001925E5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1925E5" w:rsidRDefault="001925E5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Fee For Structural Fire</w:t>
      </w:r>
    </w:p>
    <w:p w:rsidR="00996991" w:rsidRPr="00996991" w:rsidRDefault="00996991" w:rsidP="00996991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board discussed a permit for a fee due home fire needed to have temporary housing on the property. The board felt that it</w:t>
      </w:r>
      <w:r w:rsidR="001C5590">
        <w:rPr>
          <w:rFonts w:ascii="Arial" w:hAnsi="Arial" w:cs="Arial"/>
          <w:iCs/>
          <w:sz w:val="22"/>
          <w:szCs w:val="22"/>
        </w:rPr>
        <w:t xml:space="preserve"> was best to have this under nuisance with this type of fee not coming up often.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1925E5" w:rsidRDefault="001925E5" w:rsidP="001925E5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1925E5" w:rsidRPr="001925E5" w:rsidRDefault="001925E5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Minutes 12/8/2020</w:t>
      </w:r>
    </w:p>
    <w:p w:rsidR="00641ED8" w:rsidRPr="00586C2E" w:rsidRDefault="001C5590" w:rsidP="001C5590">
      <w:pPr>
        <w:ind w:left="108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Board approved minutes.</w:t>
      </w:r>
    </w:p>
    <w:p w:rsidR="00683178" w:rsidRPr="005E6446" w:rsidRDefault="00683178" w:rsidP="000002C1">
      <w:pPr>
        <w:rPr>
          <w:rFonts w:cs="Arial"/>
          <w:iCs/>
          <w:sz w:val="22"/>
          <w:szCs w:val="22"/>
        </w:rPr>
      </w:pPr>
    </w:p>
    <w:p w:rsidR="00156A35" w:rsidRPr="005E6446" w:rsidRDefault="00156A35" w:rsidP="00BE75C7">
      <w:pPr>
        <w:rPr>
          <w:rFonts w:cs="Arial"/>
          <w:sz w:val="22"/>
          <w:szCs w:val="22"/>
        </w:rPr>
      </w:pPr>
    </w:p>
    <w:p w:rsidR="004123FA" w:rsidRPr="005E6446" w:rsidRDefault="004123FA" w:rsidP="00704886">
      <w:pPr>
        <w:rPr>
          <w:rFonts w:cs="Arial"/>
          <w:sz w:val="22"/>
          <w:szCs w:val="22"/>
        </w:rPr>
      </w:pPr>
      <w:bookmarkStart w:id="0" w:name="_GoBack"/>
      <w:bookmarkEnd w:id="0"/>
    </w:p>
    <w:p w:rsidR="00CE795C" w:rsidRPr="005E6446" w:rsidRDefault="00C365E2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Meeting adjourned </w:t>
      </w:r>
      <w:r w:rsidR="00072B9E" w:rsidRPr="005E6446">
        <w:rPr>
          <w:rFonts w:cs="Arial"/>
          <w:sz w:val="22"/>
          <w:szCs w:val="22"/>
        </w:rPr>
        <w:t>at 7:</w:t>
      </w:r>
      <w:r w:rsidR="001C5590">
        <w:rPr>
          <w:rFonts w:cs="Arial"/>
          <w:sz w:val="22"/>
          <w:szCs w:val="22"/>
        </w:rPr>
        <w:t>05</w:t>
      </w:r>
      <w:r w:rsidR="00CE5CEA" w:rsidRPr="005E6446">
        <w:rPr>
          <w:rFonts w:cs="Arial"/>
          <w:sz w:val="22"/>
          <w:szCs w:val="22"/>
        </w:rPr>
        <w:t>PM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Respectfully submitted,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Michelle Metcalf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Administrative Assistant</w:t>
      </w:r>
    </w:p>
    <w:p w:rsidR="004A03F0" w:rsidRPr="005E6446" w:rsidRDefault="004A03F0" w:rsidP="00704886">
      <w:pPr>
        <w:rPr>
          <w:rFonts w:cs="Arial"/>
          <w:sz w:val="22"/>
          <w:szCs w:val="22"/>
        </w:rPr>
      </w:pPr>
    </w:p>
    <w:p w:rsidR="00492A8F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N</w:t>
      </w:r>
      <w:r w:rsidR="003326CC" w:rsidRPr="005E6446">
        <w:rPr>
          <w:rFonts w:cs="Arial"/>
          <w:sz w:val="22"/>
          <w:szCs w:val="22"/>
        </w:rPr>
        <w:t xml:space="preserve">ext meeting will be </w:t>
      </w:r>
      <w:r w:rsidR="001925E5">
        <w:rPr>
          <w:rFonts w:cs="Arial"/>
          <w:sz w:val="22"/>
          <w:szCs w:val="22"/>
        </w:rPr>
        <w:t xml:space="preserve">held January </w:t>
      </w:r>
      <w:r w:rsidR="008C28D6">
        <w:rPr>
          <w:rFonts w:cs="Arial"/>
          <w:sz w:val="22"/>
          <w:szCs w:val="22"/>
        </w:rPr>
        <w:t>5</w:t>
      </w:r>
      <w:r w:rsidR="008C28D6" w:rsidRPr="001925E5">
        <w:rPr>
          <w:rFonts w:cs="Arial"/>
          <w:sz w:val="22"/>
          <w:szCs w:val="22"/>
          <w:vertAlign w:val="superscript"/>
        </w:rPr>
        <w:t>th</w:t>
      </w:r>
      <w:r w:rsidR="008C28D6">
        <w:rPr>
          <w:rFonts w:cs="Arial"/>
          <w:sz w:val="22"/>
          <w:szCs w:val="22"/>
        </w:rPr>
        <w:t>,</w:t>
      </w:r>
      <w:r w:rsidR="000332E4" w:rsidRPr="005E6446">
        <w:rPr>
          <w:rFonts w:cs="Arial"/>
          <w:sz w:val="22"/>
          <w:szCs w:val="22"/>
        </w:rPr>
        <w:t xml:space="preserve"> 2020</w:t>
      </w:r>
    </w:p>
    <w:sectPr w:rsidR="00492A8F" w:rsidRPr="005E6446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91" w:rsidRDefault="00996991" w:rsidP="001738E7">
      <w:r>
        <w:separator/>
      </w:r>
    </w:p>
  </w:endnote>
  <w:endnote w:type="continuationSeparator" w:id="0">
    <w:p w:rsidR="00996991" w:rsidRDefault="00996991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91" w:rsidRDefault="00996991" w:rsidP="001738E7">
      <w:r>
        <w:separator/>
      </w:r>
    </w:p>
  </w:footnote>
  <w:footnote w:type="continuationSeparator" w:id="0">
    <w:p w:rsidR="00996991" w:rsidRDefault="00996991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7923"/>
    <w:rsid w:val="00020547"/>
    <w:rsid w:val="000248BE"/>
    <w:rsid w:val="000330E8"/>
    <w:rsid w:val="000332E4"/>
    <w:rsid w:val="00035C04"/>
    <w:rsid w:val="0003647F"/>
    <w:rsid w:val="000369AE"/>
    <w:rsid w:val="00040817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7EA3"/>
    <w:rsid w:val="00070A10"/>
    <w:rsid w:val="000713D1"/>
    <w:rsid w:val="000727C0"/>
    <w:rsid w:val="00072B9E"/>
    <w:rsid w:val="00073D64"/>
    <w:rsid w:val="000819EA"/>
    <w:rsid w:val="00081D3C"/>
    <w:rsid w:val="00090406"/>
    <w:rsid w:val="00093B19"/>
    <w:rsid w:val="000971C3"/>
    <w:rsid w:val="000A2455"/>
    <w:rsid w:val="000D7540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719A5"/>
    <w:rsid w:val="001738E7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33A3"/>
    <w:rsid w:val="001C4043"/>
    <w:rsid w:val="001C4CB8"/>
    <w:rsid w:val="001C5590"/>
    <w:rsid w:val="001E3709"/>
    <w:rsid w:val="001E4153"/>
    <w:rsid w:val="001E46E1"/>
    <w:rsid w:val="001F5D8B"/>
    <w:rsid w:val="00200D86"/>
    <w:rsid w:val="00206683"/>
    <w:rsid w:val="00210853"/>
    <w:rsid w:val="00216704"/>
    <w:rsid w:val="00220CC0"/>
    <w:rsid w:val="002313AC"/>
    <w:rsid w:val="00233BF0"/>
    <w:rsid w:val="00236589"/>
    <w:rsid w:val="0024178F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6B41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72B3B"/>
    <w:rsid w:val="00375B0E"/>
    <w:rsid w:val="003767D7"/>
    <w:rsid w:val="00380825"/>
    <w:rsid w:val="00382E73"/>
    <w:rsid w:val="003845D3"/>
    <w:rsid w:val="00385F7F"/>
    <w:rsid w:val="00386B87"/>
    <w:rsid w:val="00393A3F"/>
    <w:rsid w:val="00395531"/>
    <w:rsid w:val="0039694F"/>
    <w:rsid w:val="003A12C5"/>
    <w:rsid w:val="003A40FD"/>
    <w:rsid w:val="003A607C"/>
    <w:rsid w:val="003B1C18"/>
    <w:rsid w:val="003B2A39"/>
    <w:rsid w:val="003B4840"/>
    <w:rsid w:val="003B484E"/>
    <w:rsid w:val="003B4918"/>
    <w:rsid w:val="003C061E"/>
    <w:rsid w:val="003C2093"/>
    <w:rsid w:val="003C57AE"/>
    <w:rsid w:val="003C5F0C"/>
    <w:rsid w:val="003D2339"/>
    <w:rsid w:val="003D2967"/>
    <w:rsid w:val="003D6490"/>
    <w:rsid w:val="003D7852"/>
    <w:rsid w:val="003E1324"/>
    <w:rsid w:val="003E6BB5"/>
    <w:rsid w:val="003F3431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D21"/>
    <w:rsid w:val="004413BA"/>
    <w:rsid w:val="00443E50"/>
    <w:rsid w:val="00450D86"/>
    <w:rsid w:val="0045197A"/>
    <w:rsid w:val="00455033"/>
    <w:rsid w:val="004612ED"/>
    <w:rsid w:val="00472359"/>
    <w:rsid w:val="00477757"/>
    <w:rsid w:val="00480384"/>
    <w:rsid w:val="00481781"/>
    <w:rsid w:val="00485C0A"/>
    <w:rsid w:val="00492A4C"/>
    <w:rsid w:val="00492A8F"/>
    <w:rsid w:val="004975D3"/>
    <w:rsid w:val="004A03F0"/>
    <w:rsid w:val="004A080F"/>
    <w:rsid w:val="004A10C4"/>
    <w:rsid w:val="004B67C0"/>
    <w:rsid w:val="004B7DC8"/>
    <w:rsid w:val="004C1ABF"/>
    <w:rsid w:val="004C55C0"/>
    <w:rsid w:val="004D1146"/>
    <w:rsid w:val="004D3209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713D"/>
    <w:rsid w:val="00580E08"/>
    <w:rsid w:val="00585133"/>
    <w:rsid w:val="00586C2E"/>
    <w:rsid w:val="00590D79"/>
    <w:rsid w:val="005A052F"/>
    <w:rsid w:val="005A3DFA"/>
    <w:rsid w:val="005A5535"/>
    <w:rsid w:val="005B3CE1"/>
    <w:rsid w:val="005B764E"/>
    <w:rsid w:val="005C0E06"/>
    <w:rsid w:val="005C5BD0"/>
    <w:rsid w:val="005D10C0"/>
    <w:rsid w:val="005E10B8"/>
    <w:rsid w:val="005E2B86"/>
    <w:rsid w:val="005E6446"/>
    <w:rsid w:val="005F7C68"/>
    <w:rsid w:val="00600336"/>
    <w:rsid w:val="00600C2A"/>
    <w:rsid w:val="00603639"/>
    <w:rsid w:val="0061168F"/>
    <w:rsid w:val="006124D5"/>
    <w:rsid w:val="0063091A"/>
    <w:rsid w:val="00634C9D"/>
    <w:rsid w:val="00636F24"/>
    <w:rsid w:val="00637E23"/>
    <w:rsid w:val="00640746"/>
    <w:rsid w:val="00640813"/>
    <w:rsid w:val="00641ED8"/>
    <w:rsid w:val="00655F52"/>
    <w:rsid w:val="00657021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1232"/>
    <w:rsid w:val="006B3207"/>
    <w:rsid w:val="006B60B9"/>
    <w:rsid w:val="006C1942"/>
    <w:rsid w:val="006C1D34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65E4"/>
    <w:rsid w:val="0071771D"/>
    <w:rsid w:val="00720E7A"/>
    <w:rsid w:val="007244DE"/>
    <w:rsid w:val="0072623D"/>
    <w:rsid w:val="00730293"/>
    <w:rsid w:val="007336D4"/>
    <w:rsid w:val="00733CE7"/>
    <w:rsid w:val="00737C85"/>
    <w:rsid w:val="00737DF6"/>
    <w:rsid w:val="00741A88"/>
    <w:rsid w:val="00744E99"/>
    <w:rsid w:val="007509C0"/>
    <w:rsid w:val="00754026"/>
    <w:rsid w:val="007617E8"/>
    <w:rsid w:val="007654E5"/>
    <w:rsid w:val="00766D4E"/>
    <w:rsid w:val="0077088B"/>
    <w:rsid w:val="00773C2C"/>
    <w:rsid w:val="00780BF1"/>
    <w:rsid w:val="007846A6"/>
    <w:rsid w:val="0078546F"/>
    <w:rsid w:val="007929A8"/>
    <w:rsid w:val="00794A1A"/>
    <w:rsid w:val="007A5175"/>
    <w:rsid w:val="007B271A"/>
    <w:rsid w:val="007B36D3"/>
    <w:rsid w:val="007B5A14"/>
    <w:rsid w:val="007C2DDB"/>
    <w:rsid w:val="007C6B92"/>
    <w:rsid w:val="007C7D9E"/>
    <w:rsid w:val="007D409C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5B3C"/>
    <w:rsid w:val="0084506A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B19F9"/>
    <w:rsid w:val="008B1C97"/>
    <w:rsid w:val="008C28D6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6991"/>
    <w:rsid w:val="00997785"/>
    <w:rsid w:val="009A487C"/>
    <w:rsid w:val="009A4E1D"/>
    <w:rsid w:val="009A63A0"/>
    <w:rsid w:val="009B6AD7"/>
    <w:rsid w:val="009B6CE3"/>
    <w:rsid w:val="009D0679"/>
    <w:rsid w:val="009D7464"/>
    <w:rsid w:val="009E6762"/>
    <w:rsid w:val="009F2A6C"/>
    <w:rsid w:val="00A00B2B"/>
    <w:rsid w:val="00A018D2"/>
    <w:rsid w:val="00A05B34"/>
    <w:rsid w:val="00A1356F"/>
    <w:rsid w:val="00A267C0"/>
    <w:rsid w:val="00A34CB2"/>
    <w:rsid w:val="00A44C38"/>
    <w:rsid w:val="00A44C92"/>
    <w:rsid w:val="00A45326"/>
    <w:rsid w:val="00A5094A"/>
    <w:rsid w:val="00A52454"/>
    <w:rsid w:val="00A54A8F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18AC"/>
    <w:rsid w:val="00A92958"/>
    <w:rsid w:val="00A93EDA"/>
    <w:rsid w:val="00A958E6"/>
    <w:rsid w:val="00A9686C"/>
    <w:rsid w:val="00AA22D5"/>
    <w:rsid w:val="00AA50A4"/>
    <w:rsid w:val="00AA5A6A"/>
    <w:rsid w:val="00AA63E1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27B3"/>
    <w:rsid w:val="00B86691"/>
    <w:rsid w:val="00B87B48"/>
    <w:rsid w:val="00B902A6"/>
    <w:rsid w:val="00B92D63"/>
    <w:rsid w:val="00B94AFA"/>
    <w:rsid w:val="00B94DA0"/>
    <w:rsid w:val="00BA1873"/>
    <w:rsid w:val="00BA3BCD"/>
    <w:rsid w:val="00BB300A"/>
    <w:rsid w:val="00BB4282"/>
    <w:rsid w:val="00BC27FA"/>
    <w:rsid w:val="00BC5B4B"/>
    <w:rsid w:val="00BD37B7"/>
    <w:rsid w:val="00BE283C"/>
    <w:rsid w:val="00BE292E"/>
    <w:rsid w:val="00BE4039"/>
    <w:rsid w:val="00BE708D"/>
    <w:rsid w:val="00BE75C7"/>
    <w:rsid w:val="00C047A7"/>
    <w:rsid w:val="00C07FA5"/>
    <w:rsid w:val="00C1016F"/>
    <w:rsid w:val="00C23363"/>
    <w:rsid w:val="00C27000"/>
    <w:rsid w:val="00C34795"/>
    <w:rsid w:val="00C365E2"/>
    <w:rsid w:val="00C37C64"/>
    <w:rsid w:val="00C4205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4336"/>
    <w:rsid w:val="00D16EAA"/>
    <w:rsid w:val="00D23230"/>
    <w:rsid w:val="00D27497"/>
    <w:rsid w:val="00D3213A"/>
    <w:rsid w:val="00D33E62"/>
    <w:rsid w:val="00D37534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A2C49"/>
    <w:rsid w:val="00DA30C0"/>
    <w:rsid w:val="00DA3B0B"/>
    <w:rsid w:val="00DB1977"/>
    <w:rsid w:val="00DB40DD"/>
    <w:rsid w:val="00DC6551"/>
    <w:rsid w:val="00DD0018"/>
    <w:rsid w:val="00DD0438"/>
    <w:rsid w:val="00DD25DE"/>
    <w:rsid w:val="00DE1713"/>
    <w:rsid w:val="00DE5301"/>
    <w:rsid w:val="00DE7D3B"/>
    <w:rsid w:val="00DF338B"/>
    <w:rsid w:val="00DF46A3"/>
    <w:rsid w:val="00DF6425"/>
    <w:rsid w:val="00E01BD2"/>
    <w:rsid w:val="00E039E7"/>
    <w:rsid w:val="00E120D6"/>
    <w:rsid w:val="00E13557"/>
    <w:rsid w:val="00E20302"/>
    <w:rsid w:val="00E21513"/>
    <w:rsid w:val="00E21BAC"/>
    <w:rsid w:val="00E240C9"/>
    <w:rsid w:val="00E24C0F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656B"/>
    <w:rsid w:val="00E6677F"/>
    <w:rsid w:val="00E72289"/>
    <w:rsid w:val="00E8446A"/>
    <w:rsid w:val="00E85F1F"/>
    <w:rsid w:val="00E86A3F"/>
    <w:rsid w:val="00EA0709"/>
    <w:rsid w:val="00EA12B6"/>
    <w:rsid w:val="00EB397C"/>
    <w:rsid w:val="00EC50D0"/>
    <w:rsid w:val="00EC52A4"/>
    <w:rsid w:val="00EC7C05"/>
    <w:rsid w:val="00ED139E"/>
    <w:rsid w:val="00ED1B07"/>
    <w:rsid w:val="00ED239D"/>
    <w:rsid w:val="00EE0697"/>
    <w:rsid w:val="00EE1F49"/>
    <w:rsid w:val="00EE1FBB"/>
    <w:rsid w:val="00EE2639"/>
    <w:rsid w:val="00EE3468"/>
    <w:rsid w:val="00EE4F94"/>
    <w:rsid w:val="00EE6AB7"/>
    <w:rsid w:val="00EE7F66"/>
    <w:rsid w:val="00EF054B"/>
    <w:rsid w:val="00F00ACE"/>
    <w:rsid w:val="00F021BD"/>
    <w:rsid w:val="00F0234A"/>
    <w:rsid w:val="00F03CBE"/>
    <w:rsid w:val="00F0547B"/>
    <w:rsid w:val="00F101E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2F34-31B7-4099-A4B3-73E17E63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7</cp:revision>
  <cp:lastPrinted>2020-03-05T08:05:00Z</cp:lastPrinted>
  <dcterms:created xsi:type="dcterms:W3CDTF">2020-12-22T14:27:00Z</dcterms:created>
  <dcterms:modified xsi:type="dcterms:W3CDTF">2020-12-23T16:54:00Z</dcterms:modified>
</cp:coreProperties>
</file>